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F760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76035">
              <w:rPr>
                <w:b/>
                <w:sz w:val="28"/>
                <w:szCs w:val="28"/>
              </w:rPr>
              <w:t>27</w:t>
            </w:r>
            <w:r w:rsidR="00DA673F">
              <w:rPr>
                <w:b/>
                <w:sz w:val="28"/>
                <w:szCs w:val="28"/>
              </w:rPr>
              <w:t xml:space="preserve"> </w:t>
            </w:r>
            <w:r w:rsidR="00F76035">
              <w:rPr>
                <w:b/>
                <w:sz w:val="28"/>
                <w:szCs w:val="28"/>
              </w:rPr>
              <w:t>декабря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A673F">
              <w:rPr>
                <w:b/>
                <w:sz w:val="28"/>
                <w:szCs w:val="28"/>
              </w:rPr>
              <w:t>2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F760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76035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27.12.2022 года №83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804E0D" w:rsidTr="00F76035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AD52D4">
              <w:rPr>
                <w:kern w:val="2"/>
                <w:sz w:val="28"/>
                <w:szCs w:val="28"/>
              </w:rPr>
              <w:t>30 359,9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AD52D4">
              <w:rPr>
                <w:kern w:val="2"/>
                <w:sz w:val="28"/>
                <w:szCs w:val="28"/>
              </w:rPr>
              <w:t>603,9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AD52D4">
              <w:rPr>
                <w:kern w:val="2"/>
                <w:sz w:val="28"/>
                <w:szCs w:val="28"/>
              </w:rPr>
              <w:t>579,7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AD52D4">
              <w:rPr>
                <w:kern w:val="2"/>
                <w:sz w:val="28"/>
                <w:szCs w:val="28"/>
              </w:rPr>
              <w:t>98,9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>
              <w:rPr>
                <w:kern w:val="2"/>
                <w:sz w:val="28"/>
                <w:szCs w:val="28"/>
              </w:rPr>
              <w:t>»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AD52D4">
              <w:rPr>
                <w:color w:val="000000"/>
                <w:spacing w:val="-12"/>
                <w:sz w:val="28"/>
                <w:szCs w:val="28"/>
              </w:rPr>
              <w:t> 639,8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D52D4">
              <w:rPr>
                <w:sz w:val="28"/>
                <w:szCs w:val="28"/>
              </w:rPr>
              <w:t>603,9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D52D4">
              <w:rPr>
                <w:sz w:val="28"/>
                <w:szCs w:val="28"/>
              </w:rPr>
              <w:t>579,7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598,9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AD52D4">
              <w:rPr>
                <w:color w:val="000000"/>
                <w:spacing w:val="-12"/>
                <w:sz w:val="28"/>
                <w:szCs w:val="28"/>
              </w:rPr>
              <w:t> 639,8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7031E8" w:rsidRDefault="007031E8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7031E8" w:rsidRDefault="007031E8" w:rsidP="007031E8">
      <w:pPr>
        <w:ind w:right="57" w:firstLine="709"/>
        <w:jc w:val="both"/>
        <w:rPr>
          <w:b/>
          <w:sz w:val="28"/>
          <w:szCs w:val="28"/>
        </w:rPr>
      </w:pP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Pr="00642B1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59085D" w:rsidRPr="00642B11" w:rsidRDefault="0059085D" w:rsidP="0059085D">
      <w:pPr>
        <w:rPr>
          <w:kern w:val="2"/>
          <w:sz w:val="18"/>
          <w:szCs w:val="18"/>
        </w:rPr>
      </w:pPr>
    </w:p>
    <w:tbl>
      <w:tblPr>
        <w:tblW w:w="5254" w:type="pct"/>
        <w:tblLayout w:type="fixed"/>
        <w:tblLook w:val="04A0" w:firstRow="1" w:lastRow="0" w:firstColumn="1" w:lastColumn="0" w:noHBand="0" w:noVBand="1"/>
      </w:tblPr>
      <w:tblGrid>
        <w:gridCol w:w="406"/>
        <w:gridCol w:w="1823"/>
        <w:gridCol w:w="885"/>
        <w:gridCol w:w="419"/>
        <w:gridCol w:w="49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A42762">
        <w:trPr>
          <w:trHeight w:val="31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A42762">
        <w:trPr>
          <w:trHeight w:val="114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DC3179">
        <w:trPr>
          <w:trHeight w:val="156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1E021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30</w:t>
            </w:r>
            <w:r w:rsidR="001E0210">
              <w:rPr>
                <w:spacing w:val="-12"/>
                <w:sz w:val="18"/>
                <w:szCs w:val="18"/>
              </w:rPr>
              <w:t> 359,9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900D38" w:rsidP="009A3E3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9A3E39" w:rsidRPr="00642B11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5B02" w:rsidP="00EA3FAD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0210" w:rsidP="00462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0210" w:rsidP="00462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0210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1E021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</w:t>
            </w:r>
            <w:r w:rsidR="001E0210">
              <w:rPr>
                <w:spacing w:val="-18"/>
                <w:sz w:val="18"/>
                <w:szCs w:val="18"/>
              </w:rPr>
              <w:t>98,9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1E021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1E0210">
              <w:rPr>
                <w:spacing w:val="-12"/>
                <w:sz w:val="18"/>
                <w:szCs w:val="18"/>
              </w:rPr>
              <w:t> 639,8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</w:t>
            </w:r>
            <w:r w:rsidRPr="00642B11">
              <w:rPr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1E0210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1E0210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3</w:t>
            </w:r>
            <w:r w:rsidR="001E0210">
              <w:rPr>
                <w:spacing w:val="-6"/>
                <w:sz w:val="18"/>
                <w:szCs w:val="18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1E0210">
              <w:rPr>
                <w:spacing w:val="-18"/>
                <w:sz w:val="18"/>
                <w:szCs w:val="18"/>
              </w:rPr>
              <w:t>91,3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1E0210">
              <w:rPr>
                <w:spacing w:val="-18"/>
                <w:sz w:val="18"/>
                <w:szCs w:val="18"/>
              </w:rPr>
              <w:t>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</w:t>
            </w:r>
            <w:r w:rsidR="001E0210">
              <w:rPr>
                <w:spacing w:val="-18"/>
                <w:sz w:val="18"/>
                <w:szCs w:val="18"/>
              </w:rPr>
              <w:t>8</w:t>
            </w:r>
            <w:r w:rsidRPr="00642B11">
              <w:rPr>
                <w:spacing w:val="-18"/>
                <w:sz w:val="18"/>
                <w:szCs w:val="18"/>
              </w:rPr>
              <w:t>,</w:t>
            </w:r>
            <w:r w:rsidR="001E0210">
              <w:rPr>
                <w:spacing w:val="-18"/>
                <w:sz w:val="18"/>
                <w:szCs w:val="18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1E0210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1E0210">
              <w:rPr>
                <w:spacing w:val="-6"/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1E0210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1E0210">
              <w:rPr>
                <w:spacing w:val="-6"/>
                <w:sz w:val="18"/>
                <w:szCs w:val="1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766759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1E0210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A45A5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A45A55">
              <w:rPr>
                <w:spacing w:val="-6"/>
                <w:sz w:val="18"/>
                <w:szCs w:val="18"/>
              </w:rPr>
              <w:t> 254,6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</w:t>
            </w:r>
            <w:r w:rsidRPr="00642B11">
              <w:rPr>
                <w:sz w:val="18"/>
                <w:szCs w:val="18"/>
              </w:rPr>
              <w:lastRenderedPageBreak/>
              <w:t>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</w:t>
            </w:r>
            <w:r w:rsidRPr="00642B11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C5E10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разработку проектно-сметной документации на строительство и реконструкцию </w:t>
            </w:r>
            <w:r w:rsidRPr="00642B11">
              <w:rPr>
                <w:sz w:val="18"/>
                <w:szCs w:val="18"/>
              </w:rPr>
              <w:lastRenderedPageBreak/>
              <w:t>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D22AED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D22AED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D22AED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D22AED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A45A55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30</w:t>
            </w:r>
            <w:r>
              <w:rPr>
                <w:spacing w:val="-12"/>
                <w:sz w:val="18"/>
                <w:szCs w:val="18"/>
              </w:rPr>
              <w:t>359,9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21 113,3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A7347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DA7347">
              <w:rPr>
                <w:spacing w:val="-12"/>
                <w:sz w:val="18"/>
                <w:szCs w:val="18"/>
              </w:rPr>
              <w:t> 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A7347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DA7347">
              <w:rPr>
                <w:spacing w:val="-12"/>
                <w:sz w:val="18"/>
                <w:szCs w:val="18"/>
              </w:rPr>
              <w:t> 639,8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A7347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DA7347">
              <w:rPr>
                <w:spacing w:val="-12"/>
                <w:sz w:val="18"/>
                <w:szCs w:val="18"/>
              </w:rPr>
              <w:t> 639,8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D22AED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D22AED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D22AE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10" w:rsidRDefault="009F4110">
      <w:r>
        <w:separator/>
      </w:r>
    </w:p>
  </w:endnote>
  <w:endnote w:type="continuationSeparator" w:id="0">
    <w:p w:rsidR="009F4110" w:rsidRDefault="009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5" w:rsidRDefault="00F76035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F76035" w:rsidRDefault="00F7603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5" w:rsidRDefault="00F76035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F66AA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F76035" w:rsidRDefault="00F76035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10" w:rsidRDefault="009F4110">
      <w:r>
        <w:separator/>
      </w:r>
    </w:p>
  </w:footnote>
  <w:footnote w:type="continuationSeparator" w:id="0">
    <w:p w:rsidR="009F4110" w:rsidRDefault="009F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E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202FF6"/>
    <w:rsid w:val="002110A3"/>
    <w:rsid w:val="002124F1"/>
    <w:rsid w:val="00212B4E"/>
    <w:rsid w:val="00230653"/>
    <w:rsid w:val="002434D2"/>
    <w:rsid w:val="00251D58"/>
    <w:rsid w:val="002B78AD"/>
    <w:rsid w:val="002C19B1"/>
    <w:rsid w:val="002D0850"/>
    <w:rsid w:val="002D3B8D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16FE5"/>
    <w:rsid w:val="00631D0D"/>
    <w:rsid w:val="00631FFF"/>
    <w:rsid w:val="00642B11"/>
    <w:rsid w:val="00643C28"/>
    <w:rsid w:val="00647D10"/>
    <w:rsid w:val="006631D7"/>
    <w:rsid w:val="0067493B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11EE"/>
    <w:rsid w:val="008C528B"/>
    <w:rsid w:val="00900D38"/>
    <w:rsid w:val="00934D1B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A0716"/>
    <w:rsid w:val="00AA2F37"/>
    <w:rsid w:val="00AD52D4"/>
    <w:rsid w:val="00AF2178"/>
    <w:rsid w:val="00AF3664"/>
    <w:rsid w:val="00B05AC6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A2E9A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58F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11685"/>
    <w:rsid w:val="00E318BE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D4BD5"/>
    <w:rsid w:val="00EE7CDD"/>
    <w:rsid w:val="00F204B3"/>
    <w:rsid w:val="00F20C81"/>
    <w:rsid w:val="00F2258B"/>
    <w:rsid w:val="00F2324F"/>
    <w:rsid w:val="00F42093"/>
    <w:rsid w:val="00F4649C"/>
    <w:rsid w:val="00F62541"/>
    <w:rsid w:val="00F729E2"/>
    <w:rsid w:val="00F76035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4294464028</TotalTime>
  <Pages>9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92</cp:revision>
  <cp:lastPrinted>2022-05-17T08:46:00Z</cp:lastPrinted>
  <dcterms:created xsi:type="dcterms:W3CDTF">2018-11-09T13:29:00Z</dcterms:created>
  <dcterms:modified xsi:type="dcterms:W3CDTF">2022-12-27T13:47:00Z</dcterms:modified>
</cp:coreProperties>
</file>